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05" w:rsidRDefault="00EB1905" w:rsidP="00EB1905">
      <w:pPr>
        <w:spacing w:line="240" w:lineRule="exact"/>
        <w:jc w:val="center"/>
        <w:rPr>
          <w:sz w:val="24"/>
        </w:rPr>
      </w:pPr>
      <w:bookmarkStart w:id="0" w:name="_GoBack"/>
      <w:bookmarkEnd w:id="0"/>
      <w:r>
        <w:rPr>
          <w:b/>
          <w:sz w:val="24"/>
        </w:rPr>
        <w:t xml:space="preserve">APPENDIX SS-1, </w:t>
      </w:r>
      <w:r>
        <w:rPr>
          <w:b/>
          <w:caps/>
          <w:sz w:val="24"/>
        </w:rPr>
        <w:t>Stack Sampling Facilities</w:t>
      </w:r>
      <w:r>
        <w:rPr>
          <w:b/>
          <w:sz w:val="24"/>
        </w:rPr>
        <w:t xml:space="preserve"> (version dated 10/07/96)</w:t>
      </w:r>
    </w:p>
    <w:p w:rsidR="00EB1905" w:rsidRDefault="00EB1905" w:rsidP="00EB1905">
      <w:pPr>
        <w:spacing w:line="240" w:lineRule="exact"/>
        <w:rPr>
          <w:b/>
          <w:sz w:val="24"/>
        </w:rPr>
      </w:pPr>
      <w:r>
        <w:rPr>
          <w:sz w:val="24"/>
        </w:rPr>
        <w:t>________________________________________________________________________________________________________________________________________________</w:t>
      </w:r>
    </w:p>
    <w:p w:rsidR="00EB1905" w:rsidRDefault="00EB1905" w:rsidP="00EB1905">
      <w:pPr>
        <w:tabs>
          <w:tab w:val="left" w:pos="576"/>
          <w:tab w:val="left" w:pos="1296"/>
          <w:tab w:val="left" w:pos="2016"/>
          <w:tab w:val="left" w:pos="2736"/>
          <w:tab w:val="left" w:pos="5184"/>
          <w:tab w:val="right" w:pos="8496"/>
        </w:tabs>
        <w:spacing w:line="240" w:lineRule="exact"/>
        <w:rPr>
          <w:sz w:val="24"/>
          <w:u w:val="single"/>
        </w:rPr>
      </w:pP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u w:val="single"/>
        </w:rPr>
        <w:t>Stack Sampling Facilities Provided by the Owner of an Emissions Unit</w:t>
      </w:r>
      <w:r>
        <w:rPr>
          <w:sz w:val="24"/>
        </w:rPr>
        <w:t>.   This section describes the minimum requirements for stack sampling facilities that are necessary to sample point emissions units.  Sampling facilities include sampling ports, work platforms, access to work platforms, electrical power, and sampling equipment support.  Emissions units must provide these facilities at their expense.  All stack sampling facilities must meet any Occupational Safety and Health Administration (OSHA) Safety and Health Standards described in 29 CFR Part 1910, Subparts D and E.</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 Permanent Test Facilities.  The owner or operator of an emissions unit for which a compliance test, other than a visible emissions test, is required on at least an annual basis, shall install and maintain permanent stack sampling facilities.</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(b) Temporary Test Facilities.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five days of a request by the Department and remain on the emissions unit until the test is completed.</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(c) Sampling Ports.</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1. All sampling ports shall have a minimum inside diameter of 3 inches.</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2. The ports shall be capable of being sealed when not in use.</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3. The sampling ports shall be located in the stack at least 2 stack diameters or equivalent diameters downstream and at least 0.5 stack diameter or equivalent diameter upstream from any fan, bend, constriction or other flow disturbance.</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4. 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5. On rectangular ducts, the cross sectional area shall be divided into the number of equal areas in accordance with EPA Method 1. Sampling ports shall be provided which allow access to each sampling point.  The ports shall be located so that the probe can be inserted perpendicular to the gas flow.</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(d) Work Platforms.</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1. Minimum size of the working platform shall be 24 square feet in area.  Platforms shall be at least 3 feet wide.</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2. On circular stacks with 2 sampling ports, the platform shall extend at least 110 degrees around the stack.</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3. On circular stacks with more than two sampling ports, the work platform shall extend 360 degrees around the stack.</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4. All platforms shall be equipped with an adequate safety rail (ropes are not acceptable), toeboard, and hinged floor-opening cover if ladder access is used to reach the platform.  The safety rail directly in line with the sampling ports shall be removable so that no obstruction exists in an area 14 inches below each sample port and 6 inches on either side of the sampling port.</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(e) Access to Work Platform.</w:t>
      </w:r>
    </w:p>
    <w:p w:rsidR="00EB1905" w:rsidRDefault="00EB1905" w:rsidP="00EB1905">
      <w:pPr>
        <w:tabs>
          <w:tab w:val="left" w:pos="576"/>
          <w:tab w:val="left" w:pos="1296"/>
          <w:tab w:val="left" w:pos="2016"/>
          <w:tab w:val="left" w:pos="2736"/>
          <w:tab w:val="left" w:pos="5184"/>
          <w:tab w:val="right" w:pos="8496"/>
        </w:tabs>
        <w:spacing w:line="240" w:lineRule="exact"/>
        <w:rPr>
          <w:sz w:val="24"/>
        </w:rPr>
      </w:pP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br w:type="page"/>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lastRenderedPageBreak/>
        <w:tab/>
        <w:t>1. Ladders to the work platform exceeding 15 feet in length shall have safety cages or fall arresters with a minimum of 3 compatible safety belts available for use by sampling personnel.</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2. Walkways over free-fall areas shall be equipped with safety rails and toeboards.</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(f) Electrical Power.</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1. A minimum of two 120-volt AC, 20-amp outlets shall be provided at the sampling platform within 20 feet of each sampling port.</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2. If extension cords are used to provide the electrical power, they shall be kept on the plant's property and be available immediately upon request by sampling personnel.</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(g) Sampling Equipment Support.</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1. A three-quarter inch eyebolt and an angle bracket shall be attached directly above each port on vertical stacks and above each row of sampling ports on the sides of horizontal ducts.</w:t>
      </w:r>
    </w:p>
    <w:p w:rsidR="00EB1905" w:rsidRDefault="00EB1905" w:rsidP="00EB1905">
      <w:pPr>
        <w:suppressAutoHyphens/>
        <w:spacing w:line="240" w:lineRule="exact"/>
        <w:ind w:firstLine="720"/>
        <w:rPr>
          <w:sz w:val="24"/>
        </w:rPr>
      </w:pPr>
      <w:r>
        <w:rPr>
          <w:sz w:val="24"/>
        </w:rPr>
        <w:t>a. The bracket shall be a standard 3 inch x 3 inch x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EB1905" w:rsidRDefault="00EB1905" w:rsidP="00EB1905">
      <w:pPr>
        <w:suppressAutoHyphens/>
        <w:spacing w:line="240" w:lineRule="exact"/>
        <w:ind w:firstLine="720"/>
        <w:rPr>
          <w:sz w:val="24"/>
        </w:rPr>
      </w:pPr>
      <w:r>
        <w:rPr>
          <w:sz w:val="24"/>
        </w:rPr>
        <w:t>b. A three-eighth inch bolt which protrudes 2 inches from the stack may be substituted for the required bracket.  The bolt shall be located 15 and one-half inches above the centerline of the sampling port.</w:t>
      </w:r>
    </w:p>
    <w:p w:rsidR="00EB1905" w:rsidRDefault="00EB1905" w:rsidP="00EB1905">
      <w:pPr>
        <w:suppressAutoHyphens/>
        <w:spacing w:line="240" w:lineRule="exact"/>
        <w:ind w:firstLine="720"/>
        <w:rPr>
          <w:sz w:val="24"/>
        </w:rPr>
      </w:pPr>
      <w:r>
        <w:rPr>
          <w:sz w:val="24"/>
        </w:rPr>
        <w:t>c. 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2. A complete monorail or dualrail arrangement may be substituted for the eyebolt and bracket.</w:t>
      </w:r>
    </w:p>
    <w:p w:rsidR="00EB1905" w:rsidRDefault="00EB1905" w:rsidP="00EB1905">
      <w:pPr>
        <w:tabs>
          <w:tab w:val="left" w:pos="576"/>
          <w:tab w:val="left" w:pos="1296"/>
          <w:tab w:val="left" w:pos="2016"/>
          <w:tab w:val="left" w:pos="2736"/>
          <w:tab w:val="left" w:pos="5184"/>
          <w:tab w:val="right" w:pos="8496"/>
        </w:tabs>
        <w:spacing w:line="240" w:lineRule="exact"/>
        <w:rPr>
          <w:sz w:val="24"/>
        </w:rPr>
      </w:pPr>
      <w:r>
        <w:rPr>
          <w:sz w:val="24"/>
        </w:rPr>
        <w:tab/>
        <w:t>3. When the sample ports are located in the top of a horizontal duct, a frame shall be provided above the port to allow the sample probe to be secured during the test.</w:t>
      </w:r>
    </w:p>
    <w:p w:rsidR="001110E3" w:rsidRDefault="00EB1905" w:rsidP="00EB1905">
      <w:r>
        <w:rPr>
          <w:sz w:val="24"/>
        </w:rPr>
        <w:t>[Rule 62-297.310(6), F.A.C.]</w:t>
      </w:r>
    </w:p>
    <w:sectPr w:rsidR="001110E3" w:rsidSect="00654A93">
      <w:headerReference w:type="even" r:id="rId6"/>
      <w:headerReference w:type="default" r:id="rId7"/>
      <w:footerReference w:type="even" r:id="rId8"/>
      <w:footerReference w:type="default" r:id="rId9"/>
      <w:headerReference w:type="first" r:id="rId10"/>
      <w:footerReference w:type="first" r:id="rId11"/>
      <w:pgSz w:w="12240" w:h="15840"/>
      <w:pgMar w:top="1080" w:right="1440" w:bottom="1440"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7AB" w:rsidRDefault="005B47AB" w:rsidP="00EB1905">
      <w:r>
        <w:separator/>
      </w:r>
    </w:p>
  </w:endnote>
  <w:endnote w:type="continuationSeparator" w:id="0">
    <w:p w:rsidR="005B47AB" w:rsidRDefault="005B47AB" w:rsidP="00EB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905" w:rsidRDefault="00EB19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905" w:rsidRDefault="00EB1905" w:rsidP="00EB190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rPr>
    </w:pPr>
    <w:r>
      <w:rPr>
        <w:sz w:val="22"/>
      </w:rPr>
      <w:t>Mitchell Brothers, Inc.</w:t>
    </w:r>
    <w:r>
      <w:rPr>
        <w:sz w:val="22"/>
      </w:rPr>
      <w:tab/>
    </w:r>
    <w:r>
      <w:rPr>
        <w:sz w:val="22"/>
      </w:rPr>
      <w:tab/>
    </w:r>
    <w:r>
      <w:rPr>
        <w:sz w:val="22"/>
      </w:rPr>
      <w:tab/>
    </w:r>
    <w:r>
      <w:rPr>
        <w:sz w:val="22"/>
      </w:rPr>
      <w:tab/>
    </w:r>
    <w:r>
      <w:rPr>
        <w:b/>
        <w:sz w:val="22"/>
      </w:rPr>
      <w:tab/>
    </w:r>
    <w:r>
      <w:rPr>
        <w:b/>
        <w:sz w:val="22"/>
      </w:rPr>
      <w:tab/>
    </w:r>
    <w:r>
      <w:rPr>
        <w:b/>
        <w:sz w:val="22"/>
      </w:rPr>
      <w:tab/>
      <w:t>Permit No.:</w:t>
    </w:r>
    <w:r>
      <w:rPr>
        <w:sz w:val="22"/>
      </w:rPr>
      <w:t xml:space="preserve">  0730034-007-AO</w:t>
    </w:r>
  </w:p>
  <w:p w:rsidR="00EB1905" w:rsidRDefault="00EB1905" w:rsidP="00EB1905">
    <w:pPr>
      <w:rPr>
        <w:sz w:val="22"/>
      </w:rPr>
    </w:pPr>
    <w:r>
      <w:rPr>
        <w:sz w:val="22"/>
      </w:rPr>
      <w:t>Asphalt Concrete Drum Mix Plant #3</w:t>
    </w:r>
  </w:p>
  <w:sdt>
    <w:sdtPr>
      <w:id w:val="1728636285"/>
      <w:docPartObj>
        <w:docPartGallery w:val="Page Numbers (Top of Page)"/>
        <w:docPartUnique/>
      </w:docPartObj>
    </w:sdtPr>
    <w:sdtEndPr/>
    <w:sdtContent>
      <w:p w:rsidR="00EB1905" w:rsidRDefault="00EB1905" w:rsidP="00EB1905">
        <w:pPr>
          <w:pStyle w:val="Footer"/>
          <w:jc w:val="center"/>
        </w:pPr>
        <w:r>
          <w:t>Appendix SS-1</w:t>
        </w:r>
      </w:p>
      <w:p w:rsidR="00EB1905" w:rsidRDefault="00EB1905" w:rsidP="00EB190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B6675">
          <w:rPr>
            <w:b/>
            <w:bCs/>
            <w:noProof/>
          </w:rPr>
          <w:t>2</w:t>
        </w:r>
        <w:r>
          <w:rPr>
            <w:b/>
            <w:bCs/>
            <w:sz w:val="24"/>
            <w:szCs w:val="24"/>
          </w:rPr>
          <w:fldChar w:fldCharType="end"/>
        </w:r>
        <w:r>
          <w:t xml:space="preserve"> of </w:t>
        </w:r>
        <w:r>
          <w:rPr>
            <w:b/>
            <w:bCs/>
            <w:sz w:val="24"/>
            <w:szCs w:val="24"/>
          </w:rPr>
          <w:t>2</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905" w:rsidRDefault="00EB19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7AB" w:rsidRDefault="005B47AB" w:rsidP="00EB1905">
      <w:r>
        <w:separator/>
      </w:r>
    </w:p>
  </w:footnote>
  <w:footnote w:type="continuationSeparator" w:id="0">
    <w:p w:rsidR="005B47AB" w:rsidRDefault="005B47AB" w:rsidP="00EB1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905" w:rsidRDefault="00EB19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905" w:rsidRDefault="00EB19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905" w:rsidRDefault="00EB19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905"/>
    <w:rsid w:val="001110E3"/>
    <w:rsid w:val="005B47AB"/>
    <w:rsid w:val="00654A93"/>
    <w:rsid w:val="00980C3A"/>
    <w:rsid w:val="00B9540C"/>
    <w:rsid w:val="00CB6675"/>
    <w:rsid w:val="00EB1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E263FD3-5F70-44A3-BC72-9BE6C3C57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905"/>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B1905"/>
    <w:pPr>
      <w:tabs>
        <w:tab w:val="center" w:pos="4320"/>
        <w:tab w:val="right" w:pos="8640"/>
      </w:tabs>
    </w:pPr>
  </w:style>
  <w:style w:type="character" w:customStyle="1" w:styleId="HeaderChar">
    <w:name w:val="Header Char"/>
    <w:basedOn w:val="DefaultParagraphFont"/>
    <w:link w:val="Header"/>
    <w:rsid w:val="00EB190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B1905"/>
    <w:pPr>
      <w:tabs>
        <w:tab w:val="center" w:pos="4680"/>
        <w:tab w:val="right" w:pos="9360"/>
      </w:tabs>
    </w:pPr>
  </w:style>
  <w:style w:type="character" w:customStyle="1" w:styleId="FooterChar">
    <w:name w:val="Footer Char"/>
    <w:basedOn w:val="DefaultParagraphFont"/>
    <w:link w:val="Footer"/>
    <w:uiPriority w:val="99"/>
    <w:rsid w:val="00EB190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Luppert, Martha</dc:creator>
  <cp:keywords/>
  <dc:description/>
  <cp:lastModifiedBy>Luppert, Martha</cp:lastModifiedBy>
  <cp:revision>2</cp:revision>
  <dcterms:created xsi:type="dcterms:W3CDTF">2014-02-24T19:23:00Z</dcterms:created>
  <dcterms:modified xsi:type="dcterms:W3CDTF">2014-02-24T19:23:00Z</dcterms:modified>
</cp:coreProperties>
</file>